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76AD8" w14:textId="15049D38" w:rsidR="00087C4E" w:rsidRPr="00087C4E" w:rsidRDefault="00087C4E" w:rsidP="003747F4">
      <w:pPr>
        <w:spacing w:before="100" w:beforeAutospacing="1" w:after="100" w:afterAutospacing="1"/>
        <w:jc w:val="center"/>
        <w:rPr>
          <w:rFonts w:ascii="Times New Roman" w:eastAsia="Times New Roman" w:hAnsi="Times New Roman" w:cs="Times New Roman"/>
          <w:b/>
          <w:bCs/>
          <w:kern w:val="0"/>
          <w:lang w:eastAsia="en-GB"/>
          <w14:ligatures w14:val="none"/>
        </w:rPr>
      </w:pPr>
      <w:r w:rsidRPr="00087C4E">
        <w:rPr>
          <w:rFonts w:ascii="Calibri,Bold" w:eastAsia="Times New Roman" w:hAnsi="Calibri,Bold" w:cs="Times New Roman"/>
          <w:b/>
          <w:bCs/>
          <w:kern w:val="0"/>
          <w:sz w:val="22"/>
          <w:szCs w:val="22"/>
          <w:lang w:eastAsia="en-GB"/>
          <w14:ligatures w14:val="none"/>
        </w:rPr>
        <w:t>JOINT BURIAL COMMITTEE OF CLAYBROOKE PARVA, CLAYBROOKE MAGNA AND ULLESTHORPE PARISH COUNCILS’</w:t>
      </w:r>
    </w:p>
    <w:p w14:paraId="6D3ADD39" w14:textId="6D1026BD" w:rsidR="00087C4E" w:rsidRPr="00087C4E" w:rsidRDefault="00087C4E" w:rsidP="003747F4">
      <w:pPr>
        <w:spacing w:before="100" w:beforeAutospacing="1" w:after="100" w:afterAutospacing="1"/>
        <w:jc w:val="center"/>
        <w:rPr>
          <w:rFonts w:ascii="Times New Roman" w:eastAsia="Times New Roman" w:hAnsi="Times New Roman" w:cs="Times New Roman"/>
          <w:b/>
          <w:bCs/>
          <w:kern w:val="0"/>
          <w:lang w:eastAsia="en-GB"/>
          <w14:ligatures w14:val="none"/>
        </w:rPr>
      </w:pPr>
      <w:r w:rsidRPr="00087C4E">
        <w:rPr>
          <w:rFonts w:ascii="Calibri,Bold" w:eastAsia="Times New Roman" w:hAnsi="Calibri,Bold" w:cs="Times New Roman"/>
          <w:b/>
          <w:bCs/>
          <w:kern w:val="0"/>
          <w:sz w:val="22"/>
          <w:szCs w:val="22"/>
          <w:lang w:eastAsia="en-GB"/>
          <w14:ligatures w14:val="none"/>
        </w:rPr>
        <w:t>RELEVANT LEGISLATION AND GUIDANCE</w:t>
      </w:r>
    </w:p>
    <w:p w14:paraId="0645BE2F" w14:textId="77777777" w:rsidR="00087C4E" w:rsidRPr="00087C4E" w:rsidRDefault="00087C4E" w:rsidP="003747F4">
      <w:pPr>
        <w:rPr>
          <w:rFonts w:ascii="Times New Roman" w:eastAsia="Times New Roman" w:hAnsi="Times New Roman" w:cs="Times New Roman"/>
          <w:b/>
          <w:bCs/>
          <w:kern w:val="0"/>
          <w:lang w:eastAsia="en-GB"/>
          <w14:ligatures w14:val="none"/>
        </w:rPr>
      </w:pPr>
      <w:r w:rsidRPr="00087C4E">
        <w:rPr>
          <w:rFonts w:ascii="Calibri,Bold" w:eastAsia="Times New Roman" w:hAnsi="Calibri,Bold" w:cs="Times New Roman"/>
          <w:b/>
          <w:bCs/>
          <w:kern w:val="0"/>
          <w:sz w:val="22"/>
          <w:szCs w:val="22"/>
          <w:lang w:eastAsia="en-GB"/>
          <w14:ligatures w14:val="none"/>
        </w:rPr>
        <w:t xml:space="preserve">Burial and Cremation Authorities (Arnold Baker on Local Council Administration) </w:t>
      </w:r>
    </w:p>
    <w:p w14:paraId="3C9DC8E5" w14:textId="2777201B" w:rsidR="00087C4E" w:rsidRDefault="00087C4E" w:rsidP="003747F4">
      <w:pPr>
        <w:rPr>
          <w:rFonts w:ascii="Calibri" w:eastAsia="Times New Roman" w:hAnsi="Calibri" w:cs="Calibri"/>
          <w:kern w:val="0"/>
          <w:sz w:val="22"/>
          <w:szCs w:val="22"/>
          <w:lang w:eastAsia="en-GB"/>
          <w14:ligatures w14:val="none"/>
        </w:rPr>
      </w:pPr>
      <w:r w:rsidRPr="00087C4E">
        <w:rPr>
          <w:rFonts w:ascii="Calibri" w:eastAsia="Times New Roman" w:hAnsi="Calibri" w:cs="Calibri"/>
          <w:kern w:val="0"/>
          <w:sz w:val="22"/>
          <w:szCs w:val="22"/>
          <w:lang w:eastAsia="en-GB"/>
          <w14:ligatures w14:val="none"/>
        </w:rPr>
        <w:t>33.7 The councils of principal council, parishes and communities are burial and cremation authorities. The parish meetings of English parishes without a parish council (whether separate or common) are burial authorities only. When burial boards, joint boards, and the joint committees with burial board powers, were abolished</w:t>
      </w:r>
      <w:r w:rsidRPr="00087C4E">
        <w:rPr>
          <w:rFonts w:ascii="Calibri" w:eastAsia="Times New Roman" w:hAnsi="Calibri" w:cs="Calibri"/>
          <w:kern w:val="0"/>
          <w:position w:val="8"/>
          <w:sz w:val="14"/>
          <w:szCs w:val="14"/>
          <w:lang w:eastAsia="en-GB"/>
          <w14:ligatures w14:val="none"/>
        </w:rPr>
        <w:t>1</w:t>
      </w:r>
      <w:r w:rsidRPr="00087C4E">
        <w:rPr>
          <w:rFonts w:ascii="Calibri" w:eastAsia="Times New Roman" w:hAnsi="Calibri" w:cs="Calibri"/>
          <w:kern w:val="0"/>
          <w:sz w:val="22"/>
          <w:szCs w:val="22"/>
          <w:lang w:eastAsia="en-GB"/>
          <w14:ligatures w14:val="none"/>
        </w:rPr>
        <w:t>, their property and functions were transferred to the relevant burial authority or authorities jointly</w:t>
      </w:r>
      <w:r w:rsidRPr="00087C4E">
        <w:rPr>
          <w:rFonts w:ascii="Calibri" w:eastAsia="Times New Roman" w:hAnsi="Calibri" w:cs="Calibri"/>
          <w:kern w:val="0"/>
          <w:position w:val="8"/>
          <w:sz w:val="14"/>
          <w:szCs w:val="14"/>
          <w:lang w:eastAsia="en-GB"/>
          <w14:ligatures w14:val="none"/>
        </w:rPr>
        <w:t>2</w:t>
      </w:r>
      <w:r w:rsidRPr="00087C4E">
        <w:rPr>
          <w:rFonts w:ascii="Calibri" w:eastAsia="Times New Roman" w:hAnsi="Calibri" w:cs="Calibri"/>
          <w:kern w:val="0"/>
          <w:sz w:val="22"/>
          <w:szCs w:val="22"/>
          <w:lang w:eastAsia="en-GB"/>
          <w14:ligatures w14:val="none"/>
        </w:rPr>
        <w:t>; but in the case of a joint transfer the authorities concerned had to set up a joint committee</w:t>
      </w:r>
      <w:r w:rsidRPr="00087C4E">
        <w:rPr>
          <w:rFonts w:ascii="Calibri" w:eastAsia="Times New Roman" w:hAnsi="Calibri" w:cs="Calibri"/>
          <w:kern w:val="0"/>
          <w:position w:val="8"/>
          <w:sz w:val="14"/>
          <w:szCs w:val="14"/>
          <w:lang w:eastAsia="en-GB"/>
          <w14:ligatures w14:val="none"/>
        </w:rPr>
        <w:t>3</w:t>
      </w:r>
      <w:r w:rsidRPr="00087C4E">
        <w:rPr>
          <w:rFonts w:ascii="Calibri" w:eastAsia="Times New Roman" w:hAnsi="Calibri" w:cs="Calibri"/>
          <w:kern w:val="0"/>
          <w:sz w:val="22"/>
          <w:szCs w:val="22"/>
          <w:lang w:eastAsia="en-GB"/>
          <w14:ligatures w14:val="none"/>
        </w:rPr>
        <w:t>, unless the Secretary of State had created a joint board for a united district</w:t>
      </w:r>
      <w:r w:rsidRPr="00087C4E">
        <w:rPr>
          <w:rFonts w:ascii="Calibri" w:eastAsia="Times New Roman" w:hAnsi="Calibri" w:cs="Calibri"/>
          <w:kern w:val="0"/>
          <w:position w:val="8"/>
          <w:sz w:val="14"/>
          <w:szCs w:val="14"/>
          <w:lang w:eastAsia="en-GB"/>
          <w14:ligatures w14:val="none"/>
        </w:rPr>
        <w:t>4</w:t>
      </w:r>
      <w:r w:rsidRPr="00087C4E">
        <w:rPr>
          <w:rFonts w:ascii="Calibri" w:eastAsia="Times New Roman" w:hAnsi="Calibri" w:cs="Calibri"/>
          <w:kern w:val="0"/>
          <w:sz w:val="22"/>
          <w:szCs w:val="22"/>
          <w:lang w:eastAsia="en-GB"/>
          <w14:ligatures w14:val="none"/>
        </w:rPr>
        <w:t xml:space="preserve">. Such joint committees may be dissolved by agreement; but if the constituent authorities disagree, then if they are all parish or communal authorities the principal council may </w:t>
      </w:r>
      <w:r w:rsidR="003747F4" w:rsidRPr="00087C4E">
        <w:rPr>
          <w:rFonts w:ascii="Calibri" w:eastAsia="Times New Roman" w:hAnsi="Calibri" w:cs="Calibri"/>
          <w:kern w:val="0"/>
          <w:sz w:val="22"/>
          <w:szCs w:val="22"/>
          <w:lang w:eastAsia="en-GB"/>
          <w14:ligatures w14:val="none"/>
        </w:rPr>
        <w:t>affect</w:t>
      </w:r>
      <w:r w:rsidRPr="00087C4E">
        <w:rPr>
          <w:rFonts w:ascii="Calibri" w:eastAsia="Times New Roman" w:hAnsi="Calibri" w:cs="Calibri"/>
          <w:kern w:val="0"/>
          <w:sz w:val="22"/>
          <w:szCs w:val="22"/>
          <w:lang w:eastAsia="en-GB"/>
          <w14:ligatures w14:val="none"/>
        </w:rPr>
        <w:t xml:space="preserve"> the dissolution, but if one or more of them is a principal council, the Secretary of State may do so</w:t>
      </w:r>
      <w:r w:rsidRPr="00087C4E">
        <w:rPr>
          <w:rFonts w:ascii="Calibri" w:eastAsia="Times New Roman" w:hAnsi="Calibri" w:cs="Calibri"/>
          <w:kern w:val="0"/>
          <w:position w:val="8"/>
          <w:sz w:val="14"/>
          <w:szCs w:val="14"/>
          <w:lang w:eastAsia="en-GB"/>
          <w14:ligatures w14:val="none"/>
        </w:rPr>
        <w:t>5</w:t>
      </w:r>
      <w:r w:rsidRPr="00087C4E">
        <w:rPr>
          <w:rFonts w:ascii="Calibri" w:eastAsia="Times New Roman" w:hAnsi="Calibri" w:cs="Calibri"/>
          <w:kern w:val="0"/>
          <w:sz w:val="22"/>
          <w:szCs w:val="22"/>
          <w:lang w:eastAsia="en-GB"/>
          <w14:ligatures w14:val="none"/>
        </w:rPr>
        <w:t xml:space="preserve">. </w:t>
      </w:r>
    </w:p>
    <w:p w14:paraId="703C7641" w14:textId="77777777" w:rsidR="003747F4" w:rsidRPr="00087C4E" w:rsidRDefault="003747F4" w:rsidP="003747F4">
      <w:pPr>
        <w:rPr>
          <w:rFonts w:ascii="Times New Roman" w:eastAsia="Times New Roman" w:hAnsi="Times New Roman" w:cs="Times New Roman"/>
          <w:kern w:val="0"/>
          <w:lang w:eastAsia="en-GB"/>
          <w14:ligatures w14:val="none"/>
        </w:rPr>
      </w:pPr>
    </w:p>
    <w:p w14:paraId="0C30DF66" w14:textId="77777777" w:rsidR="00087C4E" w:rsidRPr="00087C4E" w:rsidRDefault="00087C4E" w:rsidP="003747F4">
      <w:pPr>
        <w:rPr>
          <w:rFonts w:ascii="Times New Roman" w:eastAsia="Times New Roman" w:hAnsi="Times New Roman" w:cs="Times New Roman"/>
          <w:b/>
          <w:bCs/>
          <w:kern w:val="0"/>
          <w:lang w:eastAsia="en-GB"/>
          <w14:ligatures w14:val="none"/>
        </w:rPr>
      </w:pPr>
      <w:r w:rsidRPr="00087C4E">
        <w:rPr>
          <w:rFonts w:ascii="Calibri,Bold" w:eastAsia="Times New Roman" w:hAnsi="Calibri,Bold" w:cs="Times New Roman"/>
          <w:b/>
          <w:bCs/>
          <w:kern w:val="0"/>
          <w:sz w:val="22"/>
          <w:szCs w:val="22"/>
          <w:lang w:eastAsia="en-GB"/>
          <w14:ligatures w14:val="none"/>
        </w:rPr>
        <w:t xml:space="preserve">Local Government Act 1972 214 </w:t>
      </w:r>
    </w:p>
    <w:p w14:paraId="49F6F63D" w14:textId="6074D813" w:rsidR="00087C4E" w:rsidRPr="00087C4E" w:rsidRDefault="00087C4E" w:rsidP="003747F4">
      <w:pPr>
        <w:rPr>
          <w:rFonts w:ascii="Times New Roman" w:eastAsia="Times New Roman" w:hAnsi="Times New Roman" w:cs="Times New Roman"/>
          <w:kern w:val="0"/>
          <w:lang w:eastAsia="en-GB"/>
          <w14:ligatures w14:val="none"/>
        </w:rPr>
      </w:pPr>
      <w:r w:rsidRPr="00087C4E">
        <w:rPr>
          <w:rFonts w:ascii="Calibri" w:eastAsia="Times New Roman" w:hAnsi="Calibri" w:cs="Calibri"/>
          <w:kern w:val="0"/>
          <w:sz w:val="22"/>
          <w:szCs w:val="22"/>
          <w:lang w:eastAsia="en-GB"/>
          <w14:ligatures w14:val="none"/>
        </w:rPr>
        <w:t>(1) The following authorities, that is to say, the councils of Welsh counties, county borough districts, London boroughs, parishes and communities, the Common Council and the parish meetings of parishes having no parish council, whether separate or common, shall be burial authorities for the purpose of, and have the functions given to them by, the following provision of this section and Schedule 26 to this Act</w:t>
      </w:r>
      <w:r w:rsidR="003747F4">
        <w:rPr>
          <w:rFonts w:ascii="Calibri" w:eastAsia="Times New Roman" w:hAnsi="Calibri" w:cs="Calibri"/>
          <w:kern w:val="0"/>
          <w:sz w:val="22"/>
          <w:szCs w:val="22"/>
          <w:lang w:eastAsia="en-GB"/>
          <w14:ligatures w14:val="none"/>
        </w:rPr>
        <w:t>:</w:t>
      </w:r>
      <w:r w:rsidRPr="00087C4E">
        <w:rPr>
          <w:rFonts w:ascii="Calibri" w:eastAsia="Times New Roman" w:hAnsi="Calibri" w:cs="Calibri"/>
          <w:kern w:val="0"/>
          <w:sz w:val="22"/>
          <w:szCs w:val="22"/>
          <w:lang w:eastAsia="en-GB"/>
          <w14:ligatures w14:val="none"/>
        </w:rPr>
        <w:t xml:space="preserve"> </w:t>
      </w:r>
    </w:p>
    <w:p w14:paraId="2251661E" w14:textId="7AAB1C60" w:rsidR="00087C4E" w:rsidRPr="00087C4E" w:rsidRDefault="00087C4E" w:rsidP="003747F4">
      <w:pPr>
        <w:spacing w:before="100" w:beforeAutospacing="1" w:after="100" w:afterAutospacing="1"/>
        <w:rPr>
          <w:rFonts w:ascii="Times New Roman" w:eastAsia="Times New Roman" w:hAnsi="Times New Roman" w:cs="Times New Roman"/>
          <w:kern w:val="0"/>
          <w:lang w:eastAsia="en-GB"/>
          <w14:ligatures w14:val="none"/>
        </w:rPr>
      </w:pPr>
      <w:r w:rsidRPr="00087C4E">
        <w:rPr>
          <w:rFonts w:ascii="Calibri" w:eastAsia="Times New Roman" w:hAnsi="Calibri" w:cs="Calibri"/>
          <w:kern w:val="0"/>
          <w:sz w:val="22"/>
          <w:szCs w:val="22"/>
          <w:lang w:eastAsia="en-GB"/>
          <w14:ligatures w14:val="none"/>
        </w:rPr>
        <w:t>(a)  the</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powers</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conferred</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by</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the</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Burial</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Acts</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1852</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to</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1906</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to</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provide</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burial</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grounds</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shall</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cease</w:t>
      </w:r>
      <w:r w:rsidR="003747F4">
        <w:rPr>
          <w:rFonts w:ascii="Calibri" w:eastAsia="Times New Roman" w:hAnsi="Calibri" w:cs="Calibri"/>
          <w:kern w:val="0"/>
          <w:sz w:val="22"/>
          <w:szCs w:val="22"/>
          <w:lang w:eastAsia="en-GB"/>
          <w14:ligatures w14:val="none"/>
        </w:rPr>
        <w:t xml:space="preserve"> </w:t>
      </w:r>
      <w:r w:rsidRPr="00087C4E">
        <w:rPr>
          <w:rFonts w:ascii="Calibri" w:eastAsia="Times New Roman" w:hAnsi="Calibri" w:cs="Calibri"/>
          <w:kern w:val="0"/>
          <w:sz w:val="22"/>
          <w:szCs w:val="22"/>
          <w:lang w:eastAsia="en-GB"/>
          <w14:ligatures w14:val="none"/>
        </w:rPr>
        <w:t xml:space="preserve">to be exercisable; and </w:t>
      </w:r>
    </w:p>
    <w:p w14:paraId="27C74C37" w14:textId="77777777" w:rsidR="00087C4E" w:rsidRPr="00087C4E" w:rsidRDefault="00087C4E" w:rsidP="003747F4">
      <w:pPr>
        <w:spacing w:before="100" w:beforeAutospacing="1" w:after="100" w:afterAutospacing="1"/>
        <w:rPr>
          <w:rFonts w:ascii="Times New Roman" w:eastAsia="Times New Roman" w:hAnsi="Times New Roman" w:cs="Times New Roman"/>
          <w:kern w:val="0"/>
          <w:lang w:eastAsia="en-GB"/>
          <w14:ligatures w14:val="none"/>
        </w:rPr>
      </w:pPr>
      <w:r w:rsidRPr="00087C4E">
        <w:rPr>
          <w:rFonts w:ascii="Calibri" w:eastAsia="Times New Roman" w:hAnsi="Calibri" w:cs="Calibri"/>
          <w:kern w:val="0"/>
          <w:sz w:val="22"/>
          <w:szCs w:val="22"/>
          <w:lang w:eastAsia="en-GB"/>
          <w14:ligatures w14:val="none"/>
        </w:rPr>
        <w:t xml:space="preserve">(b)  any existing burial board, joint burial board or joint committee with the powers of such a board established under the Burial Act 1852 or section 53(2) of the Local Government Act 1894 or by any local statutory provision shall cease to exist. </w:t>
      </w:r>
    </w:p>
    <w:p w14:paraId="23C3A01E" w14:textId="77777777" w:rsidR="00087C4E" w:rsidRPr="00087C4E" w:rsidRDefault="00087C4E" w:rsidP="00087C4E">
      <w:pPr>
        <w:spacing w:before="100" w:beforeAutospacing="1" w:after="100" w:afterAutospacing="1"/>
        <w:rPr>
          <w:rFonts w:ascii="Times New Roman" w:eastAsia="Times New Roman" w:hAnsi="Times New Roman" w:cs="Times New Roman"/>
          <w:kern w:val="0"/>
          <w:lang w:eastAsia="en-GB"/>
          <w14:ligatures w14:val="none"/>
        </w:rPr>
      </w:pPr>
      <w:r w:rsidRPr="00087C4E">
        <w:rPr>
          <w:rFonts w:ascii="Calibri" w:eastAsia="Times New Roman" w:hAnsi="Calibri" w:cs="Calibri"/>
          <w:kern w:val="0"/>
          <w:sz w:val="22"/>
          <w:szCs w:val="22"/>
          <w:lang w:eastAsia="en-GB"/>
          <w14:ligatures w14:val="none"/>
        </w:rPr>
        <w:t>Authorities that participate in joint arrangements/committees must ensure that their own accounting records fully and accurately reflect the authority’s appropriate share of joint arrangement/committee reserves, income, expenditure, assets and liabilities. Detailed guidance is given in Section 5 (paragraphs 5.133 to 5.138)</w:t>
      </w:r>
      <w:r w:rsidRPr="00087C4E">
        <w:rPr>
          <w:rFonts w:ascii="Calibri" w:eastAsia="Times New Roman" w:hAnsi="Calibri" w:cs="Calibri"/>
          <w:kern w:val="0"/>
          <w:position w:val="8"/>
          <w:sz w:val="14"/>
          <w:szCs w:val="14"/>
          <w:lang w:eastAsia="en-GB"/>
          <w14:ligatures w14:val="none"/>
        </w:rPr>
        <w:t>6</w:t>
      </w:r>
      <w:r w:rsidRPr="00087C4E">
        <w:rPr>
          <w:rFonts w:ascii="Calibri" w:eastAsia="Times New Roman" w:hAnsi="Calibri" w:cs="Calibri"/>
          <w:kern w:val="0"/>
          <w:sz w:val="22"/>
          <w:szCs w:val="22"/>
          <w:lang w:eastAsia="en-GB"/>
          <w14:ligatures w14:val="none"/>
        </w:rPr>
        <w:t xml:space="preserve">. </w:t>
      </w:r>
    </w:p>
    <w:p w14:paraId="56CE5B3E" w14:textId="69245BE0" w:rsidR="00087C4E" w:rsidRPr="00087C4E" w:rsidRDefault="00087C4E" w:rsidP="003747F4">
      <w:pPr>
        <w:spacing w:before="100" w:beforeAutospacing="1" w:after="100" w:afterAutospacing="1"/>
        <w:rPr>
          <w:rFonts w:ascii="Times New Roman" w:eastAsia="Times New Roman" w:hAnsi="Times New Roman" w:cs="Times New Roman"/>
          <w:kern w:val="0"/>
          <w:lang w:eastAsia="en-GB"/>
          <w14:ligatures w14:val="none"/>
        </w:rPr>
      </w:pPr>
      <w:r w:rsidRPr="00087C4E">
        <w:rPr>
          <w:rFonts w:ascii="Calibri" w:eastAsia="Times New Roman" w:hAnsi="Calibri" w:cs="Calibri"/>
          <w:kern w:val="0"/>
          <w:sz w:val="22"/>
          <w:szCs w:val="22"/>
          <w:lang w:eastAsia="en-GB"/>
          <w14:ligatures w14:val="none"/>
        </w:rPr>
        <w:t xml:space="preserve">Authorities that operate joint committees, boards or other joint arrangements should make sure that the appropriate shares of income, expenditure, assets and liabilities (including any year-end balances) are included within their own accounts. Merely accounting for net contributions to joint arrangements is not acceptable. Such contributions need to be “grossed up” to reflect the actual share of income and expenditure (or receipts and payments if applicable) of the joint arrangements operations. Additionally, the authority’s share of any separately identifiable bank/cash balances at the </w:t>
      </w:r>
      <w:r w:rsidR="003747F4" w:rsidRPr="00087C4E">
        <w:rPr>
          <w:rFonts w:ascii="Calibri" w:eastAsia="Times New Roman" w:hAnsi="Calibri" w:cs="Calibri"/>
          <w:kern w:val="0"/>
          <w:sz w:val="22"/>
          <w:szCs w:val="22"/>
          <w:lang w:eastAsia="en-GB"/>
          <w14:ligatures w14:val="none"/>
        </w:rPr>
        <w:t>year-end</w:t>
      </w:r>
      <w:r w:rsidRPr="00087C4E">
        <w:rPr>
          <w:rFonts w:ascii="Calibri" w:eastAsia="Times New Roman" w:hAnsi="Calibri" w:cs="Calibri"/>
          <w:kern w:val="0"/>
          <w:sz w:val="22"/>
          <w:szCs w:val="22"/>
          <w:lang w:eastAsia="en-GB"/>
          <w14:ligatures w14:val="none"/>
        </w:rPr>
        <w:t xml:space="preserve"> should be included</w:t>
      </w:r>
      <w:r w:rsidR="003747F4">
        <w:rPr>
          <w:rFonts w:ascii="Calibri" w:eastAsia="Times New Roman" w:hAnsi="Calibri" w:cs="Calibri"/>
          <w:kern w:val="0"/>
          <w:sz w:val="22"/>
          <w:szCs w:val="22"/>
          <w:lang w:eastAsia="en-GB"/>
          <w14:ligatures w14:val="none"/>
        </w:rPr>
        <w:t>.</w:t>
      </w:r>
    </w:p>
    <w:p w14:paraId="458F4C77" w14:textId="77777777" w:rsidR="00087C4E" w:rsidRPr="00087C4E" w:rsidRDefault="00087C4E" w:rsidP="00087C4E">
      <w:pPr>
        <w:spacing w:before="100" w:beforeAutospacing="1" w:after="100" w:afterAutospacing="1"/>
        <w:rPr>
          <w:rFonts w:ascii="Times New Roman" w:eastAsia="Times New Roman" w:hAnsi="Times New Roman" w:cs="Times New Roman"/>
          <w:kern w:val="0"/>
          <w:lang w:eastAsia="en-GB"/>
          <w14:ligatures w14:val="none"/>
        </w:rPr>
      </w:pPr>
      <w:r w:rsidRPr="00087C4E">
        <w:rPr>
          <w:rFonts w:ascii="Calibri" w:eastAsia="Times New Roman" w:hAnsi="Calibri" w:cs="Calibri"/>
          <w:kern w:val="0"/>
          <w:sz w:val="22"/>
          <w:szCs w:val="22"/>
          <w:lang w:eastAsia="en-GB"/>
          <w14:ligatures w14:val="none"/>
        </w:rPr>
        <w:t>Separate, published accounting statements for joint arrangements are no longer required under legislation and so the proper practices, supporting information and examples contained in this guide do not apply to joint arrangements</w:t>
      </w:r>
      <w:r w:rsidRPr="00087C4E">
        <w:rPr>
          <w:rFonts w:ascii="Calibri" w:eastAsia="Times New Roman" w:hAnsi="Calibri" w:cs="Calibri"/>
          <w:kern w:val="0"/>
          <w:position w:val="8"/>
          <w:sz w:val="14"/>
          <w:szCs w:val="14"/>
          <w:lang w:eastAsia="en-GB"/>
          <w14:ligatures w14:val="none"/>
        </w:rPr>
        <w:t>8</w:t>
      </w:r>
      <w:r w:rsidRPr="00087C4E">
        <w:rPr>
          <w:rFonts w:ascii="Calibri" w:eastAsia="Times New Roman" w:hAnsi="Calibri" w:cs="Calibri"/>
          <w:kern w:val="0"/>
          <w:sz w:val="22"/>
          <w:szCs w:val="22"/>
          <w:lang w:eastAsia="en-GB"/>
          <w14:ligatures w14:val="none"/>
        </w:rPr>
        <w:t xml:space="preserve">. </w:t>
      </w:r>
    </w:p>
    <w:p w14:paraId="25753D23" w14:textId="77777777" w:rsidR="00087C4E" w:rsidRPr="00087C4E" w:rsidRDefault="00087C4E" w:rsidP="00087C4E">
      <w:pPr>
        <w:spacing w:before="100" w:beforeAutospacing="1" w:after="100" w:afterAutospacing="1"/>
        <w:rPr>
          <w:rFonts w:ascii="Times New Roman" w:eastAsia="Times New Roman" w:hAnsi="Times New Roman" w:cs="Times New Roman"/>
          <w:kern w:val="0"/>
          <w:lang w:eastAsia="en-GB"/>
          <w14:ligatures w14:val="none"/>
        </w:rPr>
      </w:pPr>
      <w:r w:rsidRPr="00087C4E">
        <w:rPr>
          <w:rFonts w:ascii="Calibri" w:eastAsia="Times New Roman" w:hAnsi="Calibri" w:cs="Calibri"/>
          <w:kern w:val="0"/>
          <w:sz w:val="22"/>
          <w:szCs w:val="22"/>
          <w:lang w:eastAsia="en-GB"/>
          <w14:ligatures w14:val="none"/>
        </w:rPr>
        <w:t xml:space="preserve">Authorities should, however, understand the risks associated with how their share of the assets and liabilities is used by any joint arrangement in which they participate, as well as their share of income </w:t>
      </w:r>
      <w:r w:rsidRPr="00087C4E">
        <w:rPr>
          <w:rFonts w:ascii="Calibri" w:eastAsia="Times New Roman" w:hAnsi="Calibri" w:cs="Calibri"/>
          <w:kern w:val="0"/>
          <w:sz w:val="22"/>
          <w:szCs w:val="22"/>
          <w:lang w:eastAsia="en-GB"/>
          <w14:ligatures w14:val="none"/>
        </w:rPr>
        <w:lastRenderedPageBreak/>
        <w:t>and expenditure (or receipts and payments) employed in delivering the service managed by a joint arrangement</w:t>
      </w:r>
      <w:r w:rsidRPr="00087C4E">
        <w:rPr>
          <w:rFonts w:ascii="Calibri" w:eastAsia="Times New Roman" w:hAnsi="Calibri" w:cs="Calibri"/>
          <w:kern w:val="0"/>
          <w:position w:val="8"/>
          <w:sz w:val="14"/>
          <w:szCs w:val="14"/>
          <w:lang w:eastAsia="en-GB"/>
          <w14:ligatures w14:val="none"/>
        </w:rPr>
        <w:t>9</w:t>
      </w:r>
      <w:r w:rsidRPr="00087C4E">
        <w:rPr>
          <w:rFonts w:ascii="Calibri" w:eastAsia="Times New Roman" w:hAnsi="Calibri" w:cs="Calibri"/>
          <w:kern w:val="0"/>
          <w:sz w:val="22"/>
          <w:szCs w:val="22"/>
          <w:lang w:eastAsia="en-GB"/>
          <w14:ligatures w14:val="none"/>
        </w:rPr>
        <w:t xml:space="preserve">. </w:t>
      </w:r>
    </w:p>
    <w:p w14:paraId="1DB71B45" w14:textId="77777777" w:rsidR="00087C4E" w:rsidRPr="00087C4E" w:rsidRDefault="00087C4E" w:rsidP="00087C4E">
      <w:pPr>
        <w:spacing w:before="100" w:beforeAutospacing="1" w:after="100" w:afterAutospacing="1"/>
        <w:rPr>
          <w:rFonts w:ascii="Times New Roman" w:eastAsia="Times New Roman" w:hAnsi="Times New Roman" w:cs="Times New Roman"/>
          <w:kern w:val="0"/>
          <w:lang w:eastAsia="en-GB"/>
          <w14:ligatures w14:val="none"/>
        </w:rPr>
      </w:pPr>
      <w:r w:rsidRPr="00087C4E">
        <w:rPr>
          <w:rFonts w:ascii="Calibri" w:eastAsia="Times New Roman" w:hAnsi="Calibri" w:cs="Calibri"/>
          <w:kern w:val="0"/>
          <w:sz w:val="22"/>
          <w:szCs w:val="22"/>
          <w:lang w:eastAsia="en-GB"/>
          <w14:ligatures w14:val="none"/>
        </w:rPr>
        <w:t>Joint arrangements are not bodies corporate and may not own assets, hold bank accounts in their own name, have employees or enter into any form of contract</w:t>
      </w:r>
      <w:r w:rsidRPr="00087C4E">
        <w:rPr>
          <w:rFonts w:ascii="Calibri" w:eastAsia="Times New Roman" w:hAnsi="Calibri" w:cs="Calibri"/>
          <w:kern w:val="0"/>
          <w:position w:val="8"/>
          <w:sz w:val="14"/>
          <w:szCs w:val="14"/>
          <w:lang w:eastAsia="en-GB"/>
          <w14:ligatures w14:val="none"/>
        </w:rPr>
        <w:t>10</w:t>
      </w:r>
      <w:r w:rsidRPr="00087C4E">
        <w:rPr>
          <w:rFonts w:ascii="Calibri" w:eastAsia="Times New Roman" w:hAnsi="Calibri" w:cs="Calibri"/>
          <w:kern w:val="0"/>
          <w:sz w:val="22"/>
          <w:szCs w:val="22"/>
          <w:lang w:eastAsia="en-GB"/>
          <w14:ligatures w14:val="none"/>
        </w:rPr>
        <w:t xml:space="preserve">. </w:t>
      </w:r>
    </w:p>
    <w:p w14:paraId="149DD859" w14:textId="77777777" w:rsidR="00087C4E" w:rsidRPr="00087C4E" w:rsidRDefault="00087C4E" w:rsidP="00087C4E">
      <w:pPr>
        <w:spacing w:before="100" w:beforeAutospacing="1" w:after="100" w:afterAutospacing="1"/>
        <w:rPr>
          <w:rFonts w:ascii="Times New Roman" w:eastAsia="Times New Roman" w:hAnsi="Times New Roman" w:cs="Times New Roman"/>
          <w:kern w:val="0"/>
          <w:lang w:eastAsia="en-GB"/>
          <w14:ligatures w14:val="none"/>
        </w:rPr>
      </w:pPr>
      <w:r w:rsidRPr="00087C4E">
        <w:rPr>
          <w:rFonts w:ascii="Calibri" w:eastAsia="Times New Roman" w:hAnsi="Calibri" w:cs="Calibri"/>
          <w:kern w:val="0"/>
          <w:sz w:val="22"/>
          <w:szCs w:val="22"/>
          <w:lang w:eastAsia="en-GB"/>
          <w14:ligatures w14:val="none"/>
        </w:rPr>
        <w:t>All authorities in a joint arrangement need to communicate with one another. If an original formation document cannot be found, the constituent bodies need to make and record proper decisions about how the arrangement is set up and how the income, expenditure, assets and liabilities are owned and accounted for in each participating body’s Annual Governance and Accountability Return</w:t>
      </w:r>
      <w:r w:rsidRPr="00087C4E">
        <w:rPr>
          <w:rFonts w:ascii="Calibri" w:eastAsia="Times New Roman" w:hAnsi="Calibri" w:cs="Calibri"/>
          <w:kern w:val="0"/>
          <w:position w:val="8"/>
          <w:sz w:val="14"/>
          <w:szCs w:val="14"/>
          <w:lang w:eastAsia="en-GB"/>
          <w14:ligatures w14:val="none"/>
        </w:rPr>
        <w:t>11</w:t>
      </w:r>
      <w:r w:rsidRPr="00087C4E">
        <w:rPr>
          <w:rFonts w:ascii="Calibri" w:eastAsia="Times New Roman" w:hAnsi="Calibri" w:cs="Calibri"/>
          <w:kern w:val="0"/>
          <w:sz w:val="22"/>
          <w:szCs w:val="22"/>
          <w:lang w:eastAsia="en-GB"/>
          <w14:ligatures w14:val="none"/>
        </w:rPr>
        <w:t xml:space="preserve">. </w:t>
      </w:r>
    </w:p>
    <w:p w14:paraId="417AB0AA" w14:textId="77777777" w:rsidR="003747F4" w:rsidRDefault="003747F4" w:rsidP="003747F4">
      <w:pPr>
        <w:spacing w:before="100" w:beforeAutospacing="1" w:after="100" w:afterAutospacing="1"/>
        <w:rPr>
          <w:rFonts w:ascii="Calibri,Bold" w:eastAsia="Times New Roman" w:hAnsi="Calibri,Bold" w:cs="Times New Roman"/>
          <w:kern w:val="0"/>
          <w:sz w:val="22"/>
          <w:szCs w:val="22"/>
          <w:lang w:eastAsia="en-GB"/>
          <w14:ligatures w14:val="none"/>
        </w:rPr>
      </w:pPr>
    </w:p>
    <w:p w14:paraId="73924E2D" w14:textId="77777777" w:rsidR="003747F4" w:rsidRDefault="003747F4" w:rsidP="003747F4">
      <w:pPr>
        <w:spacing w:before="100" w:beforeAutospacing="1" w:after="100" w:afterAutospacing="1"/>
        <w:rPr>
          <w:rFonts w:ascii="Calibri,Bold" w:eastAsia="Times New Roman" w:hAnsi="Calibri,Bold" w:cs="Times New Roman"/>
          <w:kern w:val="0"/>
          <w:sz w:val="22"/>
          <w:szCs w:val="22"/>
          <w:lang w:eastAsia="en-GB"/>
          <w14:ligatures w14:val="none"/>
        </w:rPr>
      </w:pPr>
    </w:p>
    <w:p w14:paraId="522B2013" w14:textId="77777777" w:rsidR="003747F4" w:rsidRDefault="003747F4" w:rsidP="003747F4">
      <w:pPr>
        <w:spacing w:before="100" w:beforeAutospacing="1" w:after="100" w:afterAutospacing="1"/>
        <w:rPr>
          <w:rFonts w:ascii="Calibri,Bold" w:eastAsia="Times New Roman" w:hAnsi="Calibri,Bold" w:cs="Times New Roman"/>
          <w:kern w:val="0"/>
          <w:sz w:val="22"/>
          <w:szCs w:val="22"/>
          <w:lang w:eastAsia="en-GB"/>
          <w14:ligatures w14:val="none"/>
        </w:rPr>
      </w:pPr>
    </w:p>
    <w:p w14:paraId="024E8BF6" w14:textId="77777777" w:rsidR="003747F4" w:rsidRDefault="003747F4" w:rsidP="003747F4">
      <w:pPr>
        <w:spacing w:before="100" w:beforeAutospacing="1" w:after="100" w:afterAutospacing="1"/>
        <w:rPr>
          <w:rFonts w:ascii="Calibri,Bold" w:eastAsia="Times New Roman" w:hAnsi="Calibri,Bold" w:cs="Times New Roman"/>
          <w:kern w:val="0"/>
          <w:sz w:val="22"/>
          <w:szCs w:val="22"/>
          <w:lang w:eastAsia="en-GB"/>
          <w14:ligatures w14:val="none"/>
        </w:rPr>
      </w:pPr>
    </w:p>
    <w:p w14:paraId="59B5F92F" w14:textId="77777777" w:rsidR="003747F4" w:rsidRDefault="003747F4" w:rsidP="003747F4">
      <w:pPr>
        <w:spacing w:before="100" w:beforeAutospacing="1" w:after="100" w:afterAutospacing="1"/>
        <w:rPr>
          <w:rFonts w:ascii="Calibri,Bold" w:eastAsia="Times New Roman" w:hAnsi="Calibri,Bold" w:cs="Times New Roman"/>
          <w:kern w:val="0"/>
          <w:sz w:val="22"/>
          <w:szCs w:val="22"/>
          <w:lang w:eastAsia="en-GB"/>
          <w14:ligatures w14:val="none"/>
        </w:rPr>
      </w:pPr>
    </w:p>
    <w:p w14:paraId="76C8E2BA" w14:textId="77777777" w:rsidR="003747F4" w:rsidRDefault="003747F4" w:rsidP="003747F4">
      <w:pPr>
        <w:spacing w:before="100" w:beforeAutospacing="1" w:after="100" w:afterAutospacing="1"/>
        <w:rPr>
          <w:rFonts w:ascii="Calibri,Bold" w:eastAsia="Times New Roman" w:hAnsi="Calibri,Bold" w:cs="Times New Roman"/>
          <w:kern w:val="0"/>
          <w:sz w:val="22"/>
          <w:szCs w:val="22"/>
          <w:lang w:eastAsia="en-GB"/>
          <w14:ligatures w14:val="none"/>
        </w:rPr>
      </w:pPr>
    </w:p>
    <w:p w14:paraId="458146D1" w14:textId="77777777" w:rsidR="003747F4" w:rsidRDefault="003747F4" w:rsidP="003747F4">
      <w:pPr>
        <w:spacing w:before="100" w:beforeAutospacing="1" w:after="100" w:afterAutospacing="1"/>
        <w:rPr>
          <w:rFonts w:ascii="Calibri,Bold" w:eastAsia="Times New Roman" w:hAnsi="Calibri,Bold" w:cs="Times New Roman"/>
          <w:kern w:val="0"/>
          <w:sz w:val="22"/>
          <w:szCs w:val="22"/>
          <w:lang w:eastAsia="en-GB"/>
          <w14:ligatures w14:val="none"/>
        </w:rPr>
      </w:pPr>
    </w:p>
    <w:p w14:paraId="47EACD2C" w14:textId="77777777" w:rsidR="003747F4" w:rsidRDefault="003747F4" w:rsidP="003747F4">
      <w:pPr>
        <w:spacing w:before="100" w:beforeAutospacing="1" w:after="100" w:afterAutospacing="1"/>
        <w:rPr>
          <w:rFonts w:ascii="Calibri,Bold" w:eastAsia="Times New Roman" w:hAnsi="Calibri,Bold" w:cs="Times New Roman"/>
          <w:kern w:val="0"/>
          <w:sz w:val="22"/>
          <w:szCs w:val="22"/>
          <w:lang w:eastAsia="en-GB"/>
          <w14:ligatures w14:val="none"/>
        </w:rPr>
      </w:pPr>
    </w:p>
    <w:p w14:paraId="1A6B3329" w14:textId="77777777" w:rsidR="003747F4" w:rsidRDefault="003747F4" w:rsidP="003747F4">
      <w:pPr>
        <w:spacing w:before="100" w:beforeAutospacing="1" w:after="100" w:afterAutospacing="1"/>
        <w:rPr>
          <w:rFonts w:ascii="Calibri,Bold" w:eastAsia="Times New Roman" w:hAnsi="Calibri,Bold" w:cs="Times New Roman"/>
          <w:kern w:val="0"/>
          <w:sz w:val="22"/>
          <w:szCs w:val="22"/>
          <w:lang w:eastAsia="en-GB"/>
          <w14:ligatures w14:val="none"/>
        </w:rPr>
      </w:pPr>
    </w:p>
    <w:p w14:paraId="384F8E18" w14:textId="77777777" w:rsidR="003747F4" w:rsidRDefault="003747F4" w:rsidP="003747F4">
      <w:pPr>
        <w:spacing w:before="100" w:beforeAutospacing="1" w:after="100" w:afterAutospacing="1"/>
        <w:rPr>
          <w:rFonts w:ascii="Calibri,Bold" w:eastAsia="Times New Roman" w:hAnsi="Calibri,Bold" w:cs="Times New Roman"/>
          <w:kern w:val="0"/>
          <w:sz w:val="22"/>
          <w:szCs w:val="22"/>
          <w:lang w:eastAsia="en-GB"/>
          <w14:ligatures w14:val="none"/>
        </w:rPr>
      </w:pPr>
    </w:p>
    <w:p w14:paraId="4500CB5F" w14:textId="77777777" w:rsidR="003747F4" w:rsidRDefault="003747F4" w:rsidP="003747F4">
      <w:pPr>
        <w:spacing w:before="100" w:beforeAutospacing="1" w:after="100" w:afterAutospacing="1"/>
        <w:rPr>
          <w:rFonts w:ascii="Calibri,Bold" w:eastAsia="Times New Roman" w:hAnsi="Calibri,Bold" w:cs="Times New Roman"/>
          <w:kern w:val="0"/>
          <w:sz w:val="22"/>
          <w:szCs w:val="22"/>
          <w:lang w:eastAsia="en-GB"/>
          <w14:ligatures w14:val="none"/>
        </w:rPr>
      </w:pPr>
    </w:p>
    <w:p w14:paraId="324C0884" w14:textId="77777777" w:rsidR="003747F4" w:rsidRDefault="003747F4" w:rsidP="003747F4">
      <w:pPr>
        <w:spacing w:before="100" w:beforeAutospacing="1" w:after="100" w:afterAutospacing="1"/>
        <w:rPr>
          <w:rFonts w:ascii="Calibri,Bold" w:eastAsia="Times New Roman" w:hAnsi="Calibri,Bold" w:cs="Times New Roman"/>
          <w:kern w:val="0"/>
          <w:sz w:val="22"/>
          <w:szCs w:val="22"/>
          <w:lang w:eastAsia="en-GB"/>
          <w14:ligatures w14:val="none"/>
        </w:rPr>
      </w:pPr>
    </w:p>
    <w:p w14:paraId="1D82CE2C" w14:textId="4A86D952" w:rsidR="003747F4" w:rsidRPr="00087C4E" w:rsidRDefault="003747F4" w:rsidP="003747F4">
      <w:pPr>
        <w:spacing w:before="100" w:beforeAutospacing="1" w:after="100" w:afterAutospacing="1"/>
        <w:rPr>
          <w:rFonts w:ascii="Times New Roman" w:eastAsia="Times New Roman" w:hAnsi="Times New Roman" w:cs="Times New Roman"/>
          <w:kern w:val="0"/>
          <w:lang w:eastAsia="en-GB"/>
          <w14:ligatures w14:val="none"/>
        </w:rPr>
      </w:pPr>
      <w:r w:rsidRPr="00087C4E">
        <w:rPr>
          <w:rFonts w:ascii="Calibri" w:eastAsia="Times New Roman" w:hAnsi="Calibri" w:cs="Calibri"/>
          <w:kern w:val="0"/>
          <w:position w:val="6"/>
          <w:sz w:val="12"/>
          <w:szCs w:val="12"/>
          <w:lang w:eastAsia="en-GB"/>
          <w14:ligatures w14:val="none"/>
        </w:rPr>
        <w:t xml:space="preserve">1 </w:t>
      </w:r>
      <w:r w:rsidRPr="00087C4E">
        <w:rPr>
          <w:rFonts w:ascii="Calibri" w:eastAsia="Times New Roman" w:hAnsi="Calibri" w:cs="Calibri"/>
          <w:kern w:val="0"/>
          <w:sz w:val="20"/>
          <w:szCs w:val="20"/>
          <w:lang w:eastAsia="en-GB"/>
          <w14:ligatures w14:val="none"/>
        </w:rPr>
        <w:t>Local Government Act 1972, s 214(1).</w:t>
      </w:r>
      <w:r w:rsidRPr="00087C4E">
        <w:rPr>
          <w:rFonts w:ascii="Calibri" w:eastAsia="Times New Roman" w:hAnsi="Calibri" w:cs="Calibri"/>
          <w:kern w:val="0"/>
          <w:sz w:val="20"/>
          <w:szCs w:val="20"/>
          <w:lang w:eastAsia="en-GB"/>
          <w14:ligatures w14:val="none"/>
        </w:rPr>
        <w:br/>
      </w:r>
      <w:r w:rsidRPr="00087C4E">
        <w:rPr>
          <w:rFonts w:ascii="Calibri" w:eastAsia="Times New Roman" w:hAnsi="Calibri" w:cs="Calibri"/>
          <w:kern w:val="0"/>
          <w:position w:val="6"/>
          <w:sz w:val="12"/>
          <w:szCs w:val="12"/>
          <w:lang w:eastAsia="en-GB"/>
          <w14:ligatures w14:val="none"/>
        </w:rPr>
        <w:t xml:space="preserve">2 </w:t>
      </w:r>
      <w:r w:rsidRPr="00087C4E">
        <w:rPr>
          <w:rFonts w:ascii="Calibri" w:eastAsia="Times New Roman" w:hAnsi="Calibri" w:cs="Calibri"/>
          <w:kern w:val="0"/>
          <w:sz w:val="20"/>
          <w:szCs w:val="20"/>
          <w:lang w:eastAsia="en-GB"/>
          <w14:ligatures w14:val="none"/>
        </w:rPr>
        <w:t xml:space="preserve">For details see Local Government Act 1972, </w:t>
      </w:r>
      <w:proofErr w:type="spellStart"/>
      <w:r w:rsidRPr="00087C4E">
        <w:rPr>
          <w:rFonts w:ascii="Calibri" w:eastAsia="Times New Roman" w:hAnsi="Calibri" w:cs="Calibri"/>
          <w:kern w:val="0"/>
          <w:sz w:val="20"/>
          <w:szCs w:val="20"/>
          <w:lang w:eastAsia="en-GB"/>
          <w14:ligatures w14:val="none"/>
        </w:rPr>
        <w:t>Sch</w:t>
      </w:r>
      <w:proofErr w:type="spellEnd"/>
      <w:r w:rsidRPr="00087C4E">
        <w:rPr>
          <w:rFonts w:ascii="Calibri" w:eastAsia="Times New Roman" w:hAnsi="Calibri" w:cs="Calibri"/>
          <w:kern w:val="0"/>
          <w:sz w:val="20"/>
          <w:szCs w:val="20"/>
          <w:lang w:eastAsia="en-GB"/>
          <w14:ligatures w14:val="none"/>
        </w:rPr>
        <w:t xml:space="preserve"> 26, para 1.</w:t>
      </w:r>
      <w:r w:rsidRPr="00087C4E">
        <w:rPr>
          <w:rFonts w:ascii="Calibri" w:eastAsia="Times New Roman" w:hAnsi="Calibri" w:cs="Calibri"/>
          <w:kern w:val="0"/>
          <w:sz w:val="20"/>
          <w:szCs w:val="20"/>
          <w:lang w:eastAsia="en-GB"/>
          <w14:ligatures w14:val="none"/>
        </w:rPr>
        <w:br/>
      </w:r>
      <w:r w:rsidRPr="00087C4E">
        <w:rPr>
          <w:rFonts w:ascii="Calibri" w:eastAsia="Times New Roman" w:hAnsi="Calibri" w:cs="Calibri"/>
          <w:kern w:val="0"/>
          <w:position w:val="6"/>
          <w:sz w:val="12"/>
          <w:szCs w:val="12"/>
          <w:lang w:eastAsia="en-GB"/>
          <w14:ligatures w14:val="none"/>
        </w:rPr>
        <w:t xml:space="preserve">3 </w:t>
      </w:r>
      <w:r w:rsidRPr="00087C4E">
        <w:rPr>
          <w:rFonts w:ascii="Calibri" w:eastAsia="Times New Roman" w:hAnsi="Calibri" w:cs="Calibri"/>
          <w:kern w:val="0"/>
          <w:sz w:val="20"/>
          <w:szCs w:val="20"/>
          <w:lang w:eastAsia="en-GB"/>
          <w14:ligatures w14:val="none"/>
        </w:rPr>
        <w:t xml:space="preserve">Local Government Act 1972, </w:t>
      </w:r>
      <w:proofErr w:type="spellStart"/>
      <w:r w:rsidRPr="00087C4E">
        <w:rPr>
          <w:rFonts w:ascii="Calibri" w:eastAsia="Times New Roman" w:hAnsi="Calibri" w:cs="Calibri"/>
          <w:kern w:val="0"/>
          <w:sz w:val="20"/>
          <w:szCs w:val="20"/>
          <w:lang w:eastAsia="en-GB"/>
          <w14:ligatures w14:val="none"/>
        </w:rPr>
        <w:t>Sch</w:t>
      </w:r>
      <w:proofErr w:type="spellEnd"/>
      <w:r w:rsidRPr="00087C4E">
        <w:rPr>
          <w:rFonts w:ascii="Calibri" w:eastAsia="Times New Roman" w:hAnsi="Calibri" w:cs="Calibri"/>
          <w:kern w:val="0"/>
          <w:sz w:val="20"/>
          <w:szCs w:val="20"/>
          <w:lang w:eastAsia="en-GB"/>
          <w14:ligatures w14:val="none"/>
        </w:rPr>
        <w:t xml:space="preserve"> 26, para 2.</w:t>
      </w:r>
      <w:r w:rsidRPr="00087C4E">
        <w:rPr>
          <w:rFonts w:ascii="Calibri" w:eastAsia="Times New Roman" w:hAnsi="Calibri" w:cs="Calibri"/>
          <w:kern w:val="0"/>
          <w:sz w:val="20"/>
          <w:szCs w:val="20"/>
          <w:lang w:eastAsia="en-GB"/>
          <w14:ligatures w14:val="none"/>
        </w:rPr>
        <w:br/>
      </w:r>
      <w:r w:rsidRPr="00087C4E">
        <w:rPr>
          <w:rFonts w:ascii="Calibri" w:eastAsia="Times New Roman" w:hAnsi="Calibri" w:cs="Calibri"/>
          <w:kern w:val="0"/>
          <w:position w:val="6"/>
          <w:sz w:val="12"/>
          <w:szCs w:val="12"/>
          <w:lang w:eastAsia="en-GB"/>
          <w14:ligatures w14:val="none"/>
        </w:rPr>
        <w:t xml:space="preserve">4 </w:t>
      </w:r>
      <w:r w:rsidRPr="00087C4E">
        <w:rPr>
          <w:rFonts w:ascii="Calibri" w:eastAsia="Times New Roman" w:hAnsi="Calibri" w:cs="Calibri"/>
          <w:kern w:val="0"/>
          <w:sz w:val="20"/>
          <w:szCs w:val="20"/>
          <w:lang w:eastAsia="en-GB"/>
          <w14:ligatures w14:val="none"/>
        </w:rPr>
        <w:t xml:space="preserve">Local Government Act 1972, </w:t>
      </w:r>
      <w:proofErr w:type="spellStart"/>
      <w:r w:rsidRPr="00087C4E">
        <w:rPr>
          <w:rFonts w:ascii="Calibri" w:eastAsia="Times New Roman" w:hAnsi="Calibri" w:cs="Calibri"/>
          <w:kern w:val="0"/>
          <w:sz w:val="20"/>
          <w:szCs w:val="20"/>
          <w:lang w:eastAsia="en-GB"/>
          <w14:ligatures w14:val="none"/>
        </w:rPr>
        <w:t>Sch</w:t>
      </w:r>
      <w:proofErr w:type="spellEnd"/>
      <w:r w:rsidRPr="00087C4E">
        <w:rPr>
          <w:rFonts w:ascii="Calibri" w:eastAsia="Times New Roman" w:hAnsi="Calibri" w:cs="Calibri"/>
          <w:kern w:val="0"/>
          <w:sz w:val="20"/>
          <w:szCs w:val="20"/>
          <w:lang w:eastAsia="en-GB"/>
          <w14:ligatures w14:val="none"/>
        </w:rPr>
        <w:t xml:space="preserve"> 26, para 3.</w:t>
      </w:r>
      <w:r w:rsidRPr="00087C4E">
        <w:rPr>
          <w:rFonts w:ascii="Calibri" w:eastAsia="Times New Roman" w:hAnsi="Calibri" w:cs="Calibri"/>
          <w:kern w:val="0"/>
          <w:sz w:val="20"/>
          <w:szCs w:val="20"/>
          <w:lang w:eastAsia="en-GB"/>
          <w14:ligatures w14:val="none"/>
        </w:rPr>
        <w:br/>
      </w:r>
      <w:r w:rsidRPr="00087C4E">
        <w:rPr>
          <w:rFonts w:ascii="Calibri" w:eastAsia="Times New Roman" w:hAnsi="Calibri" w:cs="Calibri"/>
          <w:kern w:val="0"/>
          <w:position w:val="6"/>
          <w:sz w:val="12"/>
          <w:szCs w:val="12"/>
          <w:lang w:eastAsia="en-GB"/>
          <w14:ligatures w14:val="none"/>
        </w:rPr>
        <w:t xml:space="preserve">5 </w:t>
      </w:r>
      <w:r w:rsidRPr="00087C4E">
        <w:rPr>
          <w:rFonts w:ascii="Calibri" w:eastAsia="Times New Roman" w:hAnsi="Calibri" w:cs="Calibri"/>
          <w:kern w:val="0"/>
          <w:sz w:val="20"/>
          <w:szCs w:val="20"/>
          <w:lang w:eastAsia="en-GB"/>
          <w14:ligatures w14:val="none"/>
        </w:rPr>
        <w:t xml:space="preserve">Local Government Act 1972, </w:t>
      </w:r>
      <w:proofErr w:type="spellStart"/>
      <w:r w:rsidRPr="00087C4E">
        <w:rPr>
          <w:rFonts w:ascii="Calibri" w:eastAsia="Times New Roman" w:hAnsi="Calibri" w:cs="Calibri"/>
          <w:kern w:val="0"/>
          <w:sz w:val="20"/>
          <w:szCs w:val="20"/>
          <w:lang w:eastAsia="en-GB"/>
          <w14:ligatures w14:val="none"/>
        </w:rPr>
        <w:t>Sch</w:t>
      </w:r>
      <w:proofErr w:type="spellEnd"/>
      <w:r w:rsidRPr="00087C4E">
        <w:rPr>
          <w:rFonts w:ascii="Calibri" w:eastAsia="Times New Roman" w:hAnsi="Calibri" w:cs="Calibri"/>
          <w:kern w:val="0"/>
          <w:sz w:val="20"/>
          <w:szCs w:val="20"/>
          <w:lang w:eastAsia="en-GB"/>
          <w14:ligatures w14:val="none"/>
        </w:rPr>
        <w:t xml:space="preserve"> 26, para 4.</w:t>
      </w:r>
      <w:r w:rsidRPr="00087C4E">
        <w:rPr>
          <w:rFonts w:ascii="Calibri" w:eastAsia="Times New Roman" w:hAnsi="Calibri" w:cs="Calibri"/>
          <w:kern w:val="0"/>
          <w:sz w:val="20"/>
          <w:szCs w:val="20"/>
          <w:lang w:eastAsia="en-GB"/>
          <w14:ligatures w14:val="none"/>
        </w:rPr>
        <w:br/>
      </w:r>
      <w:r w:rsidRPr="00087C4E">
        <w:rPr>
          <w:rFonts w:ascii="Calibri" w:eastAsia="Times New Roman" w:hAnsi="Calibri" w:cs="Calibri"/>
          <w:kern w:val="0"/>
          <w:position w:val="6"/>
          <w:sz w:val="12"/>
          <w:szCs w:val="12"/>
          <w:lang w:eastAsia="en-GB"/>
          <w14:ligatures w14:val="none"/>
        </w:rPr>
        <w:t xml:space="preserve">6 </w:t>
      </w:r>
      <w:r w:rsidRPr="00087C4E">
        <w:rPr>
          <w:rFonts w:ascii="Calibri" w:eastAsia="Times New Roman" w:hAnsi="Calibri" w:cs="Calibri"/>
          <w:kern w:val="0"/>
          <w:sz w:val="20"/>
          <w:szCs w:val="20"/>
          <w:lang w:eastAsia="en-GB"/>
          <w14:ligatures w14:val="none"/>
        </w:rPr>
        <w:t xml:space="preserve">Governance and Accountability for Smaller Authorities in England, JPAG, 2019, 2.11. </w:t>
      </w:r>
    </w:p>
    <w:p w14:paraId="0B6D19AF" w14:textId="77777777" w:rsidR="003747F4" w:rsidRDefault="003747F4" w:rsidP="00087C4E">
      <w:pPr>
        <w:spacing w:before="100" w:beforeAutospacing="1" w:after="100" w:afterAutospacing="1"/>
        <w:rPr>
          <w:rFonts w:ascii="Calibri" w:eastAsia="Times New Roman" w:hAnsi="Calibri" w:cs="Calibri"/>
          <w:kern w:val="0"/>
          <w:position w:val="6"/>
          <w:sz w:val="12"/>
          <w:szCs w:val="12"/>
          <w:lang w:eastAsia="en-GB"/>
          <w14:ligatures w14:val="none"/>
        </w:rPr>
      </w:pPr>
    </w:p>
    <w:p w14:paraId="6A228288" w14:textId="77777777" w:rsidR="003747F4" w:rsidRDefault="003747F4" w:rsidP="00087C4E">
      <w:pPr>
        <w:spacing w:before="100" w:beforeAutospacing="1" w:after="100" w:afterAutospacing="1"/>
        <w:rPr>
          <w:rFonts w:ascii="Calibri" w:eastAsia="Times New Roman" w:hAnsi="Calibri" w:cs="Calibri"/>
          <w:kern w:val="0"/>
          <w:position w:val="6"/>
          <w:sz w:val="12"/>
          <w:szCs w:val="12"/>
          <w:lang w:eastAsia="en-GB"/>
          <w14:ligatures w14:val="none"/>
        </w:rPr>
      </w:pPr>
    </w:p>
    <w:p w14:paraId="3475271C" w14:textId="77777777" w:rsidR="003747F4" w:rsidRDefault="003747F4" w:rsidP="00087C4E">
      <w:pPr>
        <w:spacing w:before="100" w:beforeAutospacing="1" w:after="100" w:afterAutospacing="1"/>
        <w:rPr>
          <w:rFonts w:ascii="Calibri" w:eastAsia="Times New Roman" w:hAnsi="Calibri" w:cs="Calibri"/>
          <w:kern w:val="0"/>
          <w:position w:val="6"/>
          <w:sz w:val="12"/>
          <w:szCs w:val="12"/>
          <w:lang w:eastAsia="en-GB"/>
          <w14:ligatures w14:val="none"/>
        </w:rPr>
      </w:pPr>
    </w:p>
    <w:p w14:paraId="22432B74" w14:textId="3E2C3757" w:rsidR="00087C4E" w:rsidRPr="00087C4E" w:rsidRDefault="00087C4E" w:rsidP="003747F4">
      <w:pPr>
        <w:spacing w:before="100" w:beforeAutospacing="1" w:after="100" w:afterAutospacing="1"/>
        <w:rPr>
          <w:rFonts w:ascii="Times New Roman" w:eastAsia="Times New Roman" w:hAnsi="Times New Roman" w:cs="Times New Roman"/>
          <w:kern w:val="0"/>
          <w:lang w:eastAsia="en-GB"/>
          <w14:ligatures w14:val="none"/>
        </w:rPr>
      </w:pPr>
      <w:r w:rsidRPr="00087C4E">
        <w:rPr>
          <w:rFonts w:ascii="Calibri" w:eastAsia="Times New Roman" w:hAnsi="Calibri" w:cs="Calibri"/>
          <w:kern w:val="0"/>
          <w:position w:val="6"/>
          <w:sz w:val="12"/>
          <w:szCs w:val="12"/>
          <w:lang w:eastAsia="en-GB"/>
          <w14:ligatures w14:val="none"/>
        </w:rPr>
        <w:t xml:space="preserve"> </w:t>
      </w:r>
    </w:p>
    <w:p w14:paraId="6E5EACD5" w14:textId="77777777" w:rsidR="007D2BB1" w:rsidRPr="007446AF" w:rsidRDefault="007D2BB1" w:rsidP="007D2BB1">
      <w:pPr>
        <w:rPr>
          <w:b/>
          <w:bCs/>
          <w:sz w:val="22"/>
          <w:szCs w:val="22"/>
        </w:rPr>
      </w:pPr>
      <w:r w:rsidRPr="007446AF">
        <w:rPr>
          <w:b/>
          <w:bCs/>
          <w:sz w:val="22"/>
          <w:szCs w:val="22"/>
        </w:rPr>
        <w:t>Version 3: Approved August 2025</w:t>
      </w:r>
    </w:p>
    <w:p w14:paraId="1B6B6FA3" w14:textId="311E3186" w:rsidR="00DC2515" w:rsidRPr="009C5549" w:rsidRDefault="00DC2515" w:rsidP="007D2BB1">
      <w:pPr>
        <w:rPr>
          <w:sz w:val="22"/>
          <w:szCs w:val="22"/>
        </w:rPr>
      </w:pPr>
    </w:p>
    <w:sectPr w:rsidR="00DC2515" w:rsidRPr="009C5549">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2E87" w14:textId="77777777" w:rsidR="00AB1F72" w:rsidRDefault="00AB1F72" w:rsidP="009C5549">
      <w:r>
        <w:separator/>
      </w:r>
    </w:p>
  </w:endnote>
  <w:endnote w:type="continuationSeparator" w:id="0">
    <w:p w14:paraId="13EC670C" w14:textId="77777777" w:rsidR="00AB1F72" w:rsidRDefault="00AB1F72" w:rsidP="009C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697921"/>
      <w:docPartObj>
        <w:docPartGallery w:val="Page Numbers (Bottom of Page)"/>
        <w:docPartUnique/>
      </w:docPartObj>
    </w:sdtPr>
    <w:sdtContent>
      <w:p w14:paraId="3A394491" w14:textId="52B0432D" w:rsidR="009C5549" w:rsidRDefault="009C5549" w:rsidP="007C0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D90F9F" w14:textId="77777777" w:rsidR="009C5549" w:rsidRDefault="009C5549" w:rsidP="009C55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4744949"/>
      <w:docPartObj>
        <w:docPartGallery w:val="Page Numbers (Bottom of Page)"/>
        <w:docPartUnique/>
      </w:docPartObj>
    </w:sdtPr>
    <w:sdtContent>
      <w:p w14:paraId="237D770C" w14:textId="39D7512B" w:rsidR="009C5549" w:rsidRDefault="009C5549" w:rsidP="007C0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C2AD42" w14:textId="77777777" w:rsidR="009C5549" w:rsidRDefault="009C5549" w:rsidP="009C55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DEBC" w14:textId="77777777" w:rsidR="00AB1F72" w:rsidRDefault="00AB1F72" w:rsidP="009C5549">
      <w:r>
        <w:separator/>
      </w:r>
    </w:p>
  </w:footnote>
  <w:footnote w:type="continuationSeparator" w:id="0">
    <w:p w14:paraId="4981F4F0" w14:textId="77777777" w:rsidR="00AB1F72" w:rsidRDefault="00AB1F72" w:rsidP="009C5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1E24"/>
    <w:multiLevelType w:val="multilevel"/>
    <w:tmpl w:val="F34A2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701A5C"/>
    <w:multiLevelType w:val="multilevel"/>
    <w:tmpl w:val="C588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1060">
    <w:abstractNumId w:val="0"/>
  </w:num>
  <w:num w:numId="2" w16cid:durableId="1243760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4E"/>
    <w:rsid w:val="00087C4E"/>
    <w:rsid w:val="003747F4"/>
    <w:rsid w:val="003F66B6"/>
    <w:rsid w:val="004A780F"/>
    <w:rsid w:val="007D2BB1"/>
    <w:rsid w:val="009C5549"/>
    <w:rsid w:val="00AB1F72"/>
    <w:rsid w:val="00C056A7"/>
    <w:rsid w:val="00DC2515"/>
    <w:rsid w:val="00E85973"/>
    <w:rsid w:val="00FE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04A6BC"/>
  <w15:chartTrackingRefBased/>
  <w15:docId w15:val="{D9ED05CF-6D19-104B-85CB-C2492141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7C4E"/>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C5549"/>
    <w:pPr>
      <w:tabs>
        <w:tab w:val="center" w:pos="4513"/>
        <w:tab w:val="right" w:pos="9026"/>
      </w:tabs>
    </w:pPr>
  </w:style>
  <w:style w:type="character" w:customStyle="1" w:styleId="FooterChar">
    <w:name w:val="Footer Char"/>
    <w:basedOn w:val="DefaultParagraphFont"/>
    <w:link w:val="Footer"/>
    <w:uiPriority w:val="99"/>
    <w:rsid w:val="009C5549"/>
  </w:style>
  <w:style w:type="character" w:styleId="PageNumber">
    <w:name w:val="page number"/>
    <w:basedOn w:val="DefaultParagraphFont"/>
    <w:uiPriority w:val="99"/>
    <w:semiHidden/>
    <w:unhideWhenUsed/>
    <w:rsid w:val="009C5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73062">
      <w:bodyDiv w:val="1"/>
      <w:marLeft w:val="0"/>
      <w:marRight w:val="0"/>
      <w:marTop w:val="0"/>
      <w:marBottom w:val="0"/>
      <w:divBdr>
        <w:top w:val="none" w:sz="0" w:space="0" w:color="auto"/>
        <w:left w:val="none" w:sz="0" w:space="0" w:color="auto"/>
        <w:bottom w:val="none" w:sz="0" w:space="0" w:color="auto"/>
        <w:right w:val="none" w:sz="0" w:space="0" w:color="auto"/>
      </w:divBdr>
      <w:divsChild>
        <w:div w:id="390155365">
          <w:marLeft w:val="0"/>
          <w:marRight w:val="0"/>
          <w:marTop w:val="0"/>
          <w:marBottom w:val="0"/>
          <w:divBdr>
            <w:top w:val="none" w:sz="0" w:space="0" w:color="auto"/>
            <w:left w:val="none" w:sz="0" w:space="0" w:color="auto"/>
            <w:bottom w:val="none" w:sz="0" w:space="0" w:color="auto"/>
            <w:right w:val="none" w:sz="0" w:space="0" w:color="auto"/>
          </w:divBdr>
          <w:divsChild>
            <w:div w:id="1771271226">
              <w:marLeft w:val="0"/>
              <w:marRight w:val="0"/>
              <w:marTop w:val="0"/>
              <w:marBottom w:val="0"/>
              <w:divBdr>
                <w:top w:val="none" w:sz="0" w:space="0" w:color="auto"/>
                <w:left w:val="none" w:sz="0" w:space="0" w:color="auto"/>
                <w:bottom w:val="none" w:sz="0" w:space="0" w:color="auto"/>
                <w:right w:val="none" w:sz="0" w:space="0" w:color="auto"/>
              </w:divBdr>
              <w:divsChild>
                <w:div w:id="850293520">
                  <w:marLeft w:val="0"/>
                  <w:marRight w:val="0"/>
                  <w:marTop w:val="0"/>
                  <w:marBottom w:val="0"/>
                  <w:divBdr>
                    <w:top w:val="none" w:sz="0" w:space="0" w:color="auto"/>
                    <w:left w:val="none" w:sz="0" w:space="0" w:color="auto"/>
                    <w:bottom w:val="none" w:sz="0" w:space="0" w:color="auto"/>
                    <w:right w:val="none" w:sz="0" w:space="0" w:color="auto"/>
                  </w:divBdr>
                </w:div>
              </w:divsChild>
            </w:div>
            <w:div w:id="922881648">
              <w:marLeft w:val="0"/>
              <w:marRight w:val="0"/>
              <w:marTop w:val="0"/>
              <w:marBottom w:val="0"/>
              <w:divBdr>
                <w:top w:val="none" w:sz="0" w:space="0" w:color="auto"/>
                <w:left w:val="none" w:sz="0" w:space="0" w:color="auto"/>
                <w:bottom w:val="none" w:sz="0" w:space="0" w:color="auto"/>
                <w:right w:val="none" w:sz="0" w:space="0" w:color="auto"/>
              </w:divBdr>
              <w:divsChild>
                <w:div w:id="61291916">
                  <w:marLeft w:val="0"/>
                  <w:marRight w:val="0"/>
                  <w:marTop w:val="0"/>
                  <w:marBottom w:val="0"/>
                  <w:divBdr>
                    <w:top w:val="none" w:sz="0" w:space="0" w:color="auto"/>
                    <w:left w:val="none" w:sz="0" w:space="0" w:color="auto"/>
                    <w:bottom w:val="none" w:sz="0" w:space="0" w:color="auto"/>
                    <w:right w:val="none" w:sz="0" w:space="0" w:color="auto"/>
                  </w:divBdr>
                </w:div>
              </w:divsChild>
            </w:div>
            <w:div w:id="1028263168">
              <w:marLeft w:val="0"/>
              <w:marRight w:val="0"/>
              <w:marTop w:val="0"/>
              <w:marBottom w:val="0"/>
              <w:divBdr>
                <w:top w:val="none" w:sz="0" w:space="0" w:color="auto"/>
                <w:left w:val="none" w:sz="0" w:space="0" w:color="auto"/>
                <w:bottom w:val="none" w:sz="0" w:space="0" w:color="auto"/>
                <w:right w:val="none" w:sz="0" w:space="0" w:color="auto"/>
              </w:divBdr>
              <w:divsChild>
                <w:div w:id="1696228597">
                  <w:marLeft w:val="0"/>
                  <w:marRight w:val="0"/>
                  <w:marTop w:val="0"/>
                  <w:marBottom w:val="0"/>
                  <w:divBdr>
                    <w:top w:val="none" w:sz="0" w:space="0" w:color="auto"/>
                    <w:left w:val="none" w:sz="0" w:space="0" w:color="auto"/>
                    <w:bottom w:val="none" w:sz="0" w:space="0" w:color="auto"/>
                    <w:right w:val="none" w:sz="0" w:space="0" w:color="auto"/>
                  </w:divBdr>
                </w:div>
              </w:divsChild>
            </w:div>
            <w:div w:id="557665604">
              <w:marLeft w:val="0"/>
              <w:marRight w:val="0"/>
              <w:marTop w:val="0"/>
              <w:marBottom w:val="0"/>
              <w:divBdr>
                <w:top w:val="none" w:sz="0" w:space="0" w:color="auto"/>
                <w:left w:val="none" w:sz="0" w:space="0" w:color="auto"/>
                <w:bottom w:val="none" w:sz="0" w:space="0" w:color="auto"/>
                <w:right w:val="none" w:sz="0" w:space="0" w:color="auto"/>
              </w:divBdr>
              <w:divsChild>
                <w:div w:id="1259018846">
                  <w:marLeft w:val="0"/>
                  <w:marRight w:val="0"/>
                  <w:marTop w:val="0"/>
                  <w:marBottom w:val="0"/>
                  <w:divBdr>
                    <w:top w:val="none" w:sz="0" w:space="0" w:color="auto"/>
                    <w:left w:val="none" w:sz="0" w:space="0" w:color="auto"/>
                    <w:bottom w:val="none" w:sz="0" w:space="0" w:color="auto"/>
                    <w:right w:val="none" w:sz="0" w:space="0" w:color="auto"/>
                  </w:divBdr>
                </w:div>
              </w:divsChild>
            </w:div>
            <w:div w:id="1518538840">
              <w:marLeft w:val="0"/>
              <w:marRight w:val="0"/>
              <w:marTop w:val="0"/>
              <w:marBottom w:val="0"/>
              <w:divBdr>
                <w:top w:val="none" w:sz="0" w:space="0" w:color="auto"/>
                <w:left w:val="none" w:sz="0" w:space="0" w:color="auto"/>
                <w:bottom w:val="none" w:sz="0" w:space="0" w:color="auto"/>
                <w:right w:val="none" w:sz="0" w:space="0" w:color="auto"/>
              </w:divBdr>
              <w:divsChild>
                <w:div w:id="14238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5213">
          <w:marLeft w:val="0"/>
          <w:marRight w:val="0"/>
          <w:marTop w:val="0"/>
          <w:marBottom w:val="0"/>
          <w:divBdr>
            <w:top w:val="none" w:sz="0" w:space="0" w:color="auto"/>
            <w:left w:val="none" w:sz="0" w:space="0" w:color="auto"/>
            <w:bottom w:val="none" w:sz="0" w:space="0" w:color="auto"/>
            <w:right w:val="none" w:sz="0" w:space="0" w:color="auto"/>
          </w:divBdr>
          <w:divsChild>
            <w:div w:id="162361822">
              <w:marLeft w:val="0"/>
              <w:marRight w:val="0"/>
              <w:marTop w:val="0"/>
              <w:marBottom w:val="0"/>
              <w:divBdr>
                <w:top w:val="none" w:sz="0" w:space="0" w:color="auto"/>
                <w:left w:val="none" w:sz="0" w:space="0" w:color="auto"/>
                <w:bottom w:val="none" w:sz="0" w:space="0" w:color="auto"/>
                <w:right w:val="none" w:sz="0" w:space="0" w:color="auto"/>
              </w:divBdr>
              <w:divsChild>
                <w:div w:id="1334842373">
                  <w:marLeft w:val="0"/>
                  <w:marRight w:val="0"/>
                  <w:marTop w:val="0"/>
                  <w:marBottom w:val="0"/>
                  <w:divBdr>
                    <w:top w:val="none" w:sz="0" w:space="0" w:color="auto"/>
                    <w:left w:val="none" w:sz="0" w:space="0" w:color="auto"/>
                    <w:bottom w:val="none" w:sz="0" w:space="0" w:color="auto"/>
                    <w:right w:val="none" w:sz="0" w:space="0" w:color="auto"/>
                  </w:divBdr>
                </w:div>
              </w:divsChild>
            </w:div>
            <w:div w:id="1701316284">
              <w:marLeft w:val="0"/>
              <w:marRight w:val="0"/>
              <w:marTop w:val="0"/>
              <w:marBottom w:val="0"/>
              <w:divBdr>
                <w:top w:val="none" w:sz="0" w:space="0" w:color="auto"/>
                <w:left w:val="none" w:sz="0" w:space="0" w:color="auto"/>
                <w:bottom w:val="none" w:sz="0" w:space="0" w:color="auto"/>
                <w:right w:val="none" w:sz="0" w:space="0" w:color="auto"/>
              </w:divBdr>
              <w:divsChild>
                <w:div w:id="20483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3529">
      <w:bodyDiv w:val="1"/>
      <w:marLeft w:val="0"/>
      <w:marRight w:val="0"/>
      <w:marTop w:val="0"/>
      <w:marBottom w:val="0"/>
      <w:divBdr>
        <w:top w:val="none" w:sz="0" w:space="0" w:color="auto"/>
        <w:left w:val="none" w:sz="0" w:space="0" w:color="auto"/>
        <w:bottom w:val="none" w:sz="0" w:space="0" w:color="auto"/>
        <w:right w:val="none" w:sz="0" w:space="0" w:color="auto"/>
      </w:divBdr>
      <w:divsChild>
        <w:div w:id="735934985">
          <w:marLeft w:val="0"/>
          <w:marRight w:val="0"/>
          <w:marTop w:val="0"/>
          <w:marBottom w:val="0"/>
          <w:divBdr>
            <w:top w:val="none" w:sz="0" w:space="0" w:color="auto"/>
            <w:left w:val="none" w:sz="0" w:space="0" w:color="auto"/>
            <w:bottom w:val="none" w:sz="0" w:space="0" w:color="auto"/>
            <w:right w:val="none" w:sz="0" w:space="0" w:color="auto"/>
          </w:divBdr>
          <w:divsChild>
            <w:div w:id="1139498967">
              <w:marLeft w:val="0"/>
              <w:marRight w:val="0"/>
              <w:marTop w:val="0"/>
              <w:marBottom w:val="0"/>
              <w:divBdr>
                <w:top w:val="none" w:sz="0" w:space="0" w:color="auto"/>
                <w:left w:val="none" w:sz="0" w:space="0" w:color="auto"/>
                <w:bottom w:val="none" w:sz="0" w:space="0" w:color="auto"/>
                <w:right w:val="none" w:sz="0" w:space="0" w:color="auto"/>
              </w:divBdr>
              <w:divsChild>
                <w:div w:id="1151219197">
                  <w:marLeft w:val="0"/>
                  <w:marRight w:val="0"/>
                  <w:marTop w:val="0"/>
                  <w:marBottom w:val="0"/>
                  <w:divBdr>
                    <w:top w:val="none" w:sz="0" w:space="0" w:color="auto"/>
                    <w:left w:val="none" w:sz="0" w:space="0" w:color="auto"/>
                    <w:bottom w:val="none" w:sz="0" w:space="0" w:color="auto"/>
                    <w:right w:val="none" w:sz="0" w:space="0" w:color="auto"/>
                  </w:divBdr>
                </w:div>
              </w:divsChild>
            </w:div>
            <w:div w:id="649938829">
              <w:marLeft w:val="0"/>
              <w:marRight w:val="0"/>
              <w:marTop w:val="0"/>
              <w:marBottom w:val="0"/>
              <w:divBdr>
                <w:top w:val="none" w:sz="0" w:space="0" w:color="auto"/>
                <w:left w:val="none" w:sz="0" w:space="0" w:color="auto"/>
                <w:bottom w:val="none" w:sz="0" w:space="0" w:color="auto"/>
                <w:right w:val="none" w:sz="0" w:space="0" w:color="auto"/>
              </w:divBdr>
              <w:divsChild>
                <w:div w:id="1838032286">
                  <w:marLeft w:val="0"/>
                  <w:marRight w:val="0"/>
                  <w:marTop w:val="0"/>
                  <w:marBottom w:val="0"/>
                  <w:divBdr>
                    <w:top w:val="none" w:sz="0" w:space="0" w:color="auto"/>
                    <w:left w:val="none" w:sz="0" w:space="0" w:color="auto"/>
                    <w:bottom w:val="none" w:sz="0" w:space="0" w:color="auto"/>
                    <w:right w:val="none" w:sz="0" w:space="0" w:color="auto"/>
                  </w:divBdr>
                </w:div>
              </w:divsChild>
            </w:div>
            <w:div w:id="1287617926">
              <w:marLeft w:val="0"/>
              <w:marRight w:val="0"/>
              <w:marTop w:val="0"/>
              <w:marBottom w:val="0"/>
              <w:divBdr>
                <w:top w:val="none" w:sz="0" w:space="0" w:color="auto"/>
                <w:left w:val="none" w:sz="0" w:space="0" w:color="auto"/>
                <w:bottom w:val="none" w:sz="0" w:space="0" w:color="auto"/>
                <w:right w:val="none" w:sz="0" w:space="0" w:color="auto"/>
              </w:divBdr>
              <w:divsChild>
                <w:div w:id="2010596712">
                  <w:marLeft w:val="0"/>
                  <w:marRight w:val="0"/>
                  <w:marTop w:val="0"/>
                  <w:marBottom w:val="0"/>
                  <w:divBdr>
                    <w:top w:val="none" w:sz="0" w:space="0" w:color="auto"/>
                    <w:left w:val="none" w:sz="0" w:space="0" w:color="auto"/>
                    <w:bottom w:val="none" w:sz="0" w:space="0" w:color="auto"/>
                    <w:right w:val="none" w:sz="0" w:space="0" w:color="auto"/>
                  </w:divBdr>
                </w:div>
              </w:divsChild>
            </w:div>
            <w:div w:id="1030452592">
              <w:marLeft w:val="0"/>
              <w:marRight w:val="0"/>
              <w:marTop w:val="0"/>
              <w:marBottom w:val="0"/>
              <w:divBdr>
                <w:top w:val="none" w:sz="0" w:space="0" w:color="auto"/>
                <w:left w:val="none" w:sz="0" w:space="0" w:color="auto"/>
                <w:bottom w:val="none" w:sz="0" w:space="0" w:color="auto"/>
                <w:right w:val="none" w:sz="0" w:space="0" w:color="auto"/>
              </w:divBdr>
              <w:divsChild>
                <w:div w:id="1009137893">
                  <w:marLeft w:val="0"/>
                  <w:marRight w:val="0"/>
                  <w:marTop w:val="0"/>
                  <w:marBottom w:val="0"/>
                  <w:divBdr>
                    <w:top w:val="none" w:sz="0" w:space="0" w:color="auto"/>
                    <w:left w:val="none" w:sz="0" w:space="0" w:color="auto"/>
                    <w:bottom w:val="none" w:sz="0" w:space="0" w:color="auto"/>
                    <w:right w:val="none" w:sz="0" w:space="0" w:color="auto"/>
                  </w:divBdr>
                </w:div>
              </w:divsChild>
            </w:div>
            <w:div w:id="2104373119">
              <w:marLeft w:val="0"/>
              <w:marRight w:val="0"/>
              <w:marTop w:val="0"/>
              <w:marBottom w:val="0"/>
              <w:divBdr>
                <w:top w:val="none" w:sz="0" w:space="0" w:color="auto"/>
                <w:left w:val="none" w:sz="0" w:space="0" w:color="auto"/>
                <w:bottom w:val="none" w:sz="0" w:space="0" w:color="auto"/>
                <w:right w:val="none" w:sz="0" w:space="0" w:color="auto"/>
              </w:divBdr>
              <w:divsChild>
                <w:div w:id="199822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52526">
          <w:marLeft w:val="0"/>
          <w:marRight w:val="0"/>
          <w:marTop w:val="0"/>
          <w:marBottom w:val="0"/>
          <w:divBdr>
            <w:top w:val="none" w:sz="0" w:space="0" w:color="auto"/>
            <w:left w:val="none" w:sz="0" w:space="0" w:color="auto"/>
            <w:bottom w:val="none" w:sz="0" w:space="0" w:color="auto"/>
            <w:right w:val="none" w:sz="0" w:space="0" w:color="auto"/>
          </w:divBdr>
          <w:divsChild>
            <w:div w:id="1915893793">
              <w:marLeft w:val="0"/>
              <w:marRight w:val="0"/>
              <w:marTop w:val="0"/>
              <w:marBottom w:val="0"/>
              <w:divBdr>
                <w:top w:val="none" w:sz="0" w:space="0" w:color="auto"/>
                <w:left w:val="none" w:sz="0" w:space="0" w:color="auto"/>
                <w:bottom w:val="none" w:sz="0" w:space="0" w:color="auto"/>
                <w:right w:val="none" w:sz="0" w:space="0" w:color="auto"/>
              </w:divBdr>
              <w:divsChild>
                <w:div w:id="1438671778">
                  <w:marLeft w:val="0"/>
                  <w:marRight w:val="0"/>
                  <w:marTop w:val="0"/>
                  <w:marBottom w:val="0"/>
                  <w:divBdr>
                    <w:top w:val="none" w:sz="0" w:space="0" w:color="auto"/>
                    <w:left w:val="none" w:sz="0" w:space="0" w:color="auto"/>
                    <w:bottom w:val="none" w:sz="0" w:space="0" w:color="auto"/>
                    <w:right w:val="none" w:sz="0" w:space="0" w:color="auto"/>
                  </w:divBdr>
                </w:div>
              </w:divsChild>
            </w:div>
            <w:div w:id="1222131959">
              <w:marLeft w:val="0"/>
              <w:marRight w:val="0"/>
              <w:marTop w:val="0"/>
              <w:marBottom w:val="0"/>
              <w:divBdr>
                <w:top w:val="none" w:sz="0" w:space="0" w:color="auto"/>
                <w:left w:val="none" w:sz="0" w:space="0" w:color="auto"/>
                <w:bottom w:val="none" w:sz="0" w:space="0" w:color="auto"/>
                <w:right w:val="none" w:sz="0" w:space="0" w:color="auto"/>
              </w:divBdr>
              <w:divsChild>
                <w:div w:id="15583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Nunn</dc:creator>
  <cp:keywords/>
  <dc:description/>
  <cp:lastModifiedBy>Catherine Nunn</cp:lastModifiedBy>
  <cp:revision>4</cp:revision>
  <dcterms:created xsi:type="dcterms:W3CDTF">2025-06-18T11:10:00Z</dcterms:created>
  <dcterms:modified xsi:type="dcterms:W3CDTF">2025-09-03T10:51:00Z</dcterms:modified>
</cp:coreProperties>
</file>